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276" w:right="-283" w:firstLine="1276"/>
        <w:jc w:val="right"/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     Приложение к приказу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</w:r>
    </w:p>
    <w:p>
      <w:pPr>
        <w:ind w:left="0" w:right="-283" w:firstLine="0"/>
        <w:jc w:val="right"/>
        <w:tabs>
          <w:tab w:val="left" w:pos="5669" w:leader="none"/>
        </w:tabs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      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 №141-о</w:t>
      </w: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  <w:highlight w:val="none"/>
        </w:rPr>
        <w:t xml:space="preserve"> от 9 декабря 2025г.</w:t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jc w:val="center"/>
        <w:spacing w:line="283" w:lineRule="atLeast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eastAsia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План- график антидопинговых мероприятий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</w:p>
    <w:p>
      <w:pPr>
        <w:jc w:val="center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МАУ ДО  «СШ «Старт»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на 2026 год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tbl>
      <w:tblPr>
        <w:tblStyle w:val="843"/>
        <w:tblW w:w="10913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1701"/>
        <w:gridCol w:w="992"/>
        <w:gridCol w:w="1985"/>
        <w:gridCol w:w="850"/>
        <w:gridCol w:w="709"/>
        <w:gridCol w:w="1701"/>
      </w:tblGrid>
      <w:tr>
        <w:tblPrEx/>
        <w:trPr>
          <w:trHeight w:val="738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п/п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  <w:t xml:space="preserve">Наименование мероприятия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t xml:space="preserve">Целевая аудитория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  <w:t xml:space="preserve">Тип мероприятия 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  <w:t xml:space="preserve">Место проведения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  <w:t xml:space="preserve">Дата проведения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  <w:t xml:space="preserve">Кол-во участников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22"/>
                <w:szCs w:val="22"/>
              </w:rPr>
              <w:t xml:space="preserve">Ответственное  лицо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738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white"/>
              </w:rPr>
              <w:t xml:space="preserve">Принципы честной спортивной борьбы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Спортсмены НП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Лекция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МБОУ «СШ «Старт»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Центр единоборств «Северный характер»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18 января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Чащухина О.А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white"/>
              </w:rPr>
              <w:t xml:space="preserve">Виды нарушений антидопинговых правил.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Тренеры-преподаватели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Лекция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МБОУ «СШ «Старт»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13 февраля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Чащухина О.А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Мамонтова Л.А.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white"/>
              </w:rPr>
              <w:t xml:space="preserve">Роль и обязанность персонала спортсмена. Ответственность спортсмена/персонала за нарушение антидопинговых правил.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Иной персонал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Лекция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МБОУ «СШ «Старт»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20 февраля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Чащухина О.А.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Понимание спортсменами необходимость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следовать принципами честной борьбы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для собственной же пользы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Спортсмены  НП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Лекция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МБОУ «СШ «Старт»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Центр единоборств «Северный характер»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15 марта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Чащухина О.А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День чистого спорта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Спортсмены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Спортивное мероприятие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Центр культуры и спорта Геолог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31 мая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70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Чащухина О.А.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Шклярова А.Ю.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Мамонтова Л.А.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white"/>
              </w:rPr>
              <w:t xml:space="preserve">Последствия нарушения антидопинговых правил.Санкции за нарушения антидопинговых правил.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Спортсмены ССМ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Лекция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МБОУ «СШ «Старт»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Центр единоборств «Северный характер»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Центр культуры и спорта Геолог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20 марта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Чащухина О.А.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Запрещенные субстанции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Спортсмены 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Лекция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МБОУ «СШ «Старт»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Центр единоборств «Северный характер»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Центр культуры и спорта Геолог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16 апреля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Чащухина О.А.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Мамонтова Л.А.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Шклярова А.Ю.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2369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Дисквалификация спортсменов. История и последствия дисквалификаций для спортивной карьеры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Спортсмены ССМ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Лекция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МБОУ «СШ «Старт»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Центр единоборств «Северный характер»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Центр культуры и спорта Геолог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20 апреля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Чащухина О.А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Виды нарушений антидопинговых правил. Права и обязанности спортсменов. Принцип «строгой ответственности».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Родители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Форум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МБОУ «СШ «Старт»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Центр единоборств «Северный характер»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 сентября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Чащухина О.А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Мамонтова Л.А.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Шклярова А.Ю.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Ответственность за применение допинга в Российском законодательстве и международной практике.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Тренеры-преподаватели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Лекция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Центр единоборств «Северный характер»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16 октября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Чащухина О.А.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Мамонтова Л.А.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Шклярова А.Ю.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Определение «допинг». Виды нарушений антидопинговых правил.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Спортсмены 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Лекция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МБОУ «СШ «Старт»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Центр единоборств «Северный характер»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Центр культуры и спорта Геолог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20 ноября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Чащухина О.А.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b w:val="0"/>
                <w:bCs w:val="0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Ответственность за применение допинга в Российском законодательстве и международной практике.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Иной персонал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Лекция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МБОУ «СШ «Старт»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Центр единоборств «Северный характер»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rPr>
                <w:rFonts w:ascii="Liberation Serif" w:hAnsi="Liberation Serif" w:eastAsia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11 декабря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Чащухина О.А.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Шклярова А.Ю.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eastAsia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</w:tbl>
    <w:p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  <w:r>
        <w:rPr>
          <w:rFonts w:ascii="Liberation Serif" w:hAnsi="Liberation Serif" w:cs="Liberation Serif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9"/>
    <w:next w:val="839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40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9"/>
    <w:next w:val="839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40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9"/>
    <w:next w:val="839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40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40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40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40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40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40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40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9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39"/>
    <w:next w:val="839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40"/>
    <w:link w:val="682"/>
    <w:uiPriority w:val="10"/>
    <w:rPr>
      <w:sz w:val="48"/>
      <w:szCs w:val="48"/>
    </w:rPr>
  </w:style>
  <w:style w:type="paragraph" w:styleId="684">
    <w:name w:val="Subtitle"/>
    <w:basedOn w:val="839"/>
    <w:next w:val="839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40"/>
    <w:link w:val="684"/>
    <w:uiPriority w:val="11"/>
    <w:rPr>
      <w:sz w:val="24"/>
      <w:szCs w:val="24"/>
    </w:rPr>
  </w:style>
  <w:style w:type="paragraph" w:styleId="686">
    <w:name w:val="Quote"/>
    <w:basedOn w:val="839"/>
    <w:next w:val="839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9"/>
    <w:next w:val="839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39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basedOn w:val="840"/>
    <w:link w:val="690"/>
    <w:uiPriority w:val="99"/>
  </w:style>
  <w:style w:type="paragraph" w:styleId="692">
    <w:name w:val="Footer"/>
    <w:basedOn w:val="839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basedOn w:val="840"/>
    <w:link w:val="692"/>
    <w:uiPriority w:val="99"/>
  </w:style>
  <w:style w:type="paragraph" w:styleId="694">
    <w:name w:val="Caption"/>
    <w:basedOn w:val="839"/>
    <w:next w:val="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table" w:styleId="843">
    <w:name w:val="Table Grid"/>
    <w:basedOn w:val="84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revision>37</cp:revision>
  <dcterms:created xsi:type="dcterms:W3CDTF">2020-10-06T06:52:00Z</dcterms:created>
  <dcterms:modified xsi:type="dcterms:W3CDTF">2025-12-11T06:26:50Z</dcterms:modified>
</cp:coreProperties>
</file>